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91CB9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19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91</w:t>
      </w:r>
      <w:r w:rsidR="006A75B8">
        <w:rPr>
          <w:rFonts w:ascii="Sylfaen" w:hAnsi="Sylfaen" w:cs="Sylfaen"/>
          <w:szCs w:val="21"/>
          <w:shd w:val="clear" w:color="auto" w:fill="FFFFFF"/>
        </w:rPr>
        <w:t>5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6A75B8">
        <w:rPr>
          <w:rFonts w:ascii="Sylfaen" w:hAnsi="Sylfaen" w:cs="Sylfaen"/>
          <w:szCs w:val="21"/>
          <w:shd w:val="clear" w:color="auto" w:fill="FFFFFF"/>
        </w:rPr>
        <w:t>7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EB0989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19 90</w:t>
      </w:r>
      <w:r w:rsidR="006A75B8">
        <w:rPr>
          <w:rFonts w:ascii="Sylfaen" w:hAnsi="Sylfaen"/>
          <w:szCs w:val="21"/>
          <w:shd w:val="clear" w:color="auto" w:fill="FFFFFF"/>
        </w:rPr>
        <w:t>8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A75B8">
        <w:rPr>
          <w:rFonts w:ascii="Sylfaen" w:hAnsi="Sylfaen"/>
          <w:szCs w:val="21"/>
          <w:shd w:val="clear" w:color="auto" w:fill="FFFFFF"/>
        </w:rPr>
        <w:t>9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242810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6.8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15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74</w:t>
      </w:r>
      <w:r w:rsidR="006A75B8">
        <w:rPr>
          <w:rFonts w:ascii="Sylfaen" w:hAnsi="Sylfaen"/>
          <w:szCs w:val="21"/>
          <w:shd w:val="clear" w:color="auto" w:fill="FFFFFF"/>
        </w:rPr>
        <w:t>9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A75B8">
        <w:rPr>
          <w:rFonts w:ascii="Sylfaen" w:hAnsi="Sylfaen"/>
          <w:szCs w:val="21"/>
          <w:shd w:val="clear" w:color="auto" w:fill="FFFFFF"/>
        </w:rPr>
        <w:t>7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79</w:t>
      </w:r>
      <w:r w:rsidR="006F4202" w:rsidRPr="00274E21">
        <w:rPr>
          <w:rFonts w:ascii="Sylfaen" w:hAnsi="Sylfaen"/>
          <w:szCs w:val="21"/>
          <w:shd w:val="clear" w:color="auto" w:fill="FFFFFF"/>
        </w:rPr>
        <w:t>%-</w:t>
      </w:r>
      <w:r w:rsidR="006F4202" w:rsidRPr="00274E21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274E21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274E21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21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9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</w:t>
      </w:r>
      <w:r w:rsidR="006F4202" w:rsidRPr="00300938">
        <w:rPr>
          <w:rFonts w:ascii="Sylfaen" w:hAnsi="Sylfaen"/>
          <w:szCs w:val="21"/>
          <w:shd w:val="clear" w:color="auto" w:fill="FFFFFF"/>
          <w:lang w:val="ka-GE"/>
        </w:rPr>
        <w:t xml:space="preserve">დაახლოებით </w:t>
      </w:r>
      <w:r w:rsidR="00DE4001" w:rsidRPr="00300938">
        <w:rPr>
          <w:rFonts w:ascii="Sylfaen" w:hAnsi="Sylfaen"/>
          <w:szCs w:val="21"/>
          <w:shd w:val="clear" w:color="auto" w:fill="FFFFFF"/>
        </w:rPr>
        <w:t xml:space="preserve"> </w:t>
      </w:r>
      <w:r w:rsidR="007820A8" w:rsidRPr="00BB79CB">
        <w:rPr>
          <w:rFonts w:ascii="Sylfaen" w:hAnsi="Sylfaen"/>
          <w:szCs w:val="21"/>
          <w:shd w:val="clear" w:color="auto" w:fill="FFFFFF"/>
        </w:rPr>
        <w:t>8.</w:t>
      </w:r>
      <w:r w:rsidR="00491CB9">
        <w:rPr>
          <w:rFonts w:ascii="Sylfaen" w:hAnsi="Sylfaen"/>
          <w:szCs w:val="21"/>
          <w:shd w:val="clear" w:color="auto" w:fill="FFFFFF"/>
          <w:lang w:val="ka-GE"/>
        </w:rPr>
        <w:t>4</w:t>
      </w:r>
      <w:r w:rsidR="00C126E1" w:rsidRPr="0030093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30093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30093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0093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CB36D7" w:rsidRPr="00274E21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98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91CB9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91CB9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A75B8" w:rsidRPr="00A33B48" w:rsidRDefault="006A75B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6A75B8" w:rsidRPr="00BB79CB" w:rsidRDefault="006A75B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721F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98</w:t>
                              </w:r>
                              <w:r w:rsidRPr="00BB79C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6A75B8" w:rsidRPr="00A33B48" w:rsidRDefault="006A75B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721F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21</w:t>
                              </w:r>
                              <w:r w:rsidRPr="00BB79C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BB79C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6A75B8" w:rsidRPr="00BB79CB" w:rsidRDefault="006A75B8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5F497A" w:themeColor="accent4" w:themeShade="BF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BB79C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</w:t>
                              </w:r>
                              <w:r w:rsidRPr="00BB79CB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6A75B8" w:rsidRPr="00A33B48" w:rsidRDefault="006A75B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6A75B8" w:rsidRPr="00BB79CB" w:rsidRDefault="006A75B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721F3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98</w:t>
                        </w:r>
                        <w:r w:rsidRPr="00BB79CB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6A75B8" w:rsidRPr="00A33B48" w:rsidRDefault="006A75B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C721F3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21</w:t>
                        </w:r>
                        <w:r w:rsidRPr="00BB79CB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BB79CB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6A75B8" w:rsidRPr="00BB79CB" w:rsidRDefault="006A75B8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5F497A" w:themeColor="accent4" w:themeShade="BF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BB79CB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>4</w:t>
                        </w:r>
                        <w:r w:rsidRPr="00BB79CB">
                          <w:rPr>
                            <w:rFonts w:ascii="Sylfaen" w:hAnsi="Sylfaen" w:cstheme="minorBidi"/>
                            <w:b/>
                            <w:bCs/>
                            <w:color w:val="5F497A" w:themeColor="accent4" w:themeShade="BF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9363B9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274E21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274E2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B5065" w:rsidRPr="00274E21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6F4202" w:rsidRPr="00274E21">
        <w:rPr>
          <w:rFonts w:ascii="Sylfaen" w:hAnsi="Sylfaen" w:cs="Sylfaen"/>
          <w:szCs w:val="21"/>
          <w:shd w:val="clear" w:color="auto" w:fill="FFFFFF"/>
        </w:rPr>
        <w:t>%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</w:t>
      </w:r>
      <w:r w:rsidR="00274E21" w:rsidRPr="00274E21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491CB9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274E21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274E21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491CB9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page">
              <wp:posOffset>4181475</wp:posOffset>
            </wp:positionH>
            <wp:positionV relativeFrom="paragraph">
              <wp:posOffset>59690</wp:posOffset>
            </wp:positionV>
            <wp:extent cx="2440940" cy="1981200"/>
            <wp:effectExtent l="0" t="0" r="35560" b="0"/>
            <wp:wrapThrough wrapText="bothSides">
              <wp:wrapPolygon edited="0">
                <wp:start x="0" y="0"/>
                <wp:lineTo x="0" y="21392"/>
                <wp:lineTo x="21746" y="21392"/>
                <wp:lineTo x="21746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12065</wp:posOffset>
            </wp:positionV>
            <wp:extent cx="2847975" cy="19812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491CB9">
      <w:pPr>
        <w:tabs>
          <w:tab w:val="left" w:pos="360"/>
        </w:tabs>
        <w:spacing w:line="240" w:lineRule="auto"/>
        <w:jc w:val="center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491CB9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91CB9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274E21" w:rsidRDefault="00274E21" w:rsidP="00D62E87">
      <w:pPr>
        <w:tabs>
          <w:tab w:val="left" w:pos="360"/>
        </w:tabs>
        <w:spacing w:after="0" w:line="240" w:lineRule="auto"/>
        <w:jc w:val="center"/>
      </w:pPr>
      <w:r>
        <w:rPr>
          <w:lang w:val="ka-GE"/>
        </w:rPr>
        <w:fldChar w:fldCharType="begin"/>
      </w:r>
      <w:r>
        <w:rPr>
          <w:lang w:val="ka-GE"/>
        </w:rPr>
        <w:instrText xml:space="preserve"> LINK Excel.Sheet.12 "C:\\Users\\l.phirtskhalaishvili\\AppData\\Local\\Microsoft\\Windows\\INetCache\\Content.Outlook\\Z2EX8TKM\\Average Weighted Interest Rate_2019 SEP.xlsx" "SEP (GVT-GE)!R5C2:R108C9" \a \f 4 \h </w:instrText>
      </w:r>
      <w:r w:rsidR="00C65B32">
        <w:rPr>
          <w:lang w:val="ka-GE"/>
        </w:rPr>
        <w:instrText xml:space="preserve"> \* MERGEFORMAT </w:instrText>
      </w:r>
      <w:r>
        <w:rPr>
          <w:lang w:val="ka-GE"/>
        </w:rPr>
        <w:fldChar w:fldCharType="separate"/>
      </w:r>
    </w:p>
    <w:p w:rsidR="00491CB9" w:rsidRDefault="00274E2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6"/>
        <w:gridCol w:w="925"/>
        <w:gridCol w:w="1279"/>
        <w:gridCol w:w="1176"/>
        <w:gridCol w:w="1523"/>
        <w:gridCol w:w="1072"/>
        <w:gridCol w:w="1073"/>
      </w:tblGrid>
      <w:tr w:rsidR="006A75B8" w:rsidRPr="006A75B8" w:rsidTr="004E4988">
        <w:trPr>
          <w:trHeight w:val="551"/>
          <w:tblHeader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31.12.2019 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A75B8" w:rsidRPr="006A75B8" w:rsidTr="006A75B8">
        <w:trPr>
          <w:trHeight w:val="210"/>
        </w:trPr>
        <w:tc>
          <w:tcPr>
            <w:tcW w:w="19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სახელმწიფო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საგარეო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ვალი</w:t>
            </w:r>
            <w:proofErr w:type="spellEnd"/>
          </w:p>
        </w:tc>
        <w:tc>
          <w:tcPr>
            <w:tcW w:w="656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          5 492 105 </w:t>
            </w:r>
          </w:p>
        </w:tc>
        <w:tc>
          <w:tcPr>
            <w:tcW w:w="605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 xml:space="preserve">      15 749 710 </w:t>
            </w:r>
          </w:p>
        </w:tc>
        <w:tc>
          <w:tcPr>
            <w:tcW w:w="642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4"/>
                <w:szCs w:val="14"/>
              </w:rPr>
              <w:t> </w:t>
            </w:r>
          </w:p>
        </w:tc>
      </w:tr>
      <w:tr w:rsidR="006A75B8" w:rsidRPr="006A75B8" w:rsidTr="007043A8">
        <w:trPr>
          <w:trHeight w:val="268"/>
        </w:trPr>
        <w:tc>
          <w:tcPr>
            <w:tcW w:w="1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მრავალმხრივი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  3 927 293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11 262 297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(WB - IDA)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713 417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2 045 865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0.750%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0.097%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241 009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691 141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0.088%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9 154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26 252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2.150%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105 027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301 187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Var. Spread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8" w:space="0" w:color="auto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0.640%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dotted" w:sz="4" w:space="0" w:color="A6A6A6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ასოციაცია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(WB - IBRD)</w:t>
            </w: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425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1 220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0.910%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171 958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493 125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LIBOR + Variable Spread 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2.500%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0.078%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133 278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382 201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2.580%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0.063%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72 142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206 882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2.610%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0.034%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9 211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26 414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2.670%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45 551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130 626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2.700%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30 635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87 851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2.740%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18 332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52 570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2.790%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21 514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61 697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2.880%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148 828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426 794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2.900%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0.079%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120 000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344 124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2.970%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0.065%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26 937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77 248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3.040%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6 623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18 993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22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სოფლის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მეურნეობის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საერთაშორისო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ფონდი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(IFAD)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18 326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52 554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0.750%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22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10 410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29 852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56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4 199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12 041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(SDR LIBOR + IBRD Variable Spread)/2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1.120%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285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ევროგაერთიანება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r w:rsidRPr="006A75B8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(EU)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11 192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32 095 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0.519%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28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14 549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41 724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1.163%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28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16 788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48 142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1.250%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387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რეკონსტრუქციის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და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(EBRD)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131 538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377 210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EURIBOR+ 1%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0.869%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0.021%</w:t>
            </w:r>
          </w:p>
        </w:tc>
      </w:tr>
      <w:tr w:rsidR="006A75B8" w:rsidRPr="006A75B8" w:rsidTr="006A75B8">
        <w:trPr>
          <w:trHeight w:val="240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(ADB)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SDR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62 232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178 464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24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355 974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1 020 828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1.500%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0.097%</w:t>
            </w:r>
          </w:p>
        </w:tc>
      </w:tr>
      <w:tr w:rsidR="006A75B8" w:rsidRPr="006A75B8" w:rsidTr="006A75B8">
        <w:trPr>
          <w:trHeight w:val="24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39 294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112 684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1.600%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21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229 869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659 196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0.084%</w:t>
            </w:r>
          </w:p>
        </w:tc>
      </w:tr>
      <w:tr w:rsidR="006A75B8" w:rsidRPr="006A75B8" w:rsidTr="006A75B8">
        <w:trPr>
          <w:trHeight w:val="42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159 916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458 592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Fixed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0.381%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50 000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143 385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LIBOR + Fixed Spread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2.337%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0.021%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13 333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38 236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2.412%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59 576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170 847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2.585%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0.028%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73 773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211 560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2.603%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0.035%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12 654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36 288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2.610%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45 512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130 514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2.624%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0.022%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50 000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143 385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2.682%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0.024%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36 723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105 312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2.737%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0.018%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22 541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64 641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2.753%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180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38 323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109 898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2.803%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0.020%</w:t>
            </w:r>
          </w:p>
        </w:tc>
      </w:tr>
      <w:tr w:rsidR="006A75B8" w:rsidRPr="006A75B8" w:rsidTr="006A75B8">
        <w:trPr>
          <w:trHeight w:val="54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აზიის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ინფრასტრუქტურის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(AIIB)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26 666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76 471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LIBOR + Variable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3.450%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0.017%</w:t>
            </w:r>
          </w:p>
        </w:tc>
      </w:tr>
      <w:tr w:rsidR="006A75B8" w:rsidRPr="006A75B8" w:rsidTr="006A75B8">
        <w:trPr>
          <w:trHeight w:val="363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ევროსაბჭოს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განვითარების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(CEB)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1 009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2 893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+ Variable Spread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0.114%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ევროპის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საინვესტიციო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ბანკი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(EIB)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9 347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26 805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0.856%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22 384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64 190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0.867%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11 192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32 095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1.652%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25 994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74 544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1.693%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22 384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64 190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1.937%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187 464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537 591 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EURIBOR+FS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83 939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240 713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22 384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64 190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0.152%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50 364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144 427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0.327%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66 854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191 716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0.392%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13 187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37 818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0.401%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10 678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30 620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0.461%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38 515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110 450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0.471%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3 358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9 629 </w:t>
            </w: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0.505%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540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სკანდინავიური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გარემოსდაცვის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საფინანსო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კორპორაცია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(NEFCO)  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809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2 320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Euribor+VS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7043A8">
        <w:trPr>
          <w:trHeight w:val="270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lastRenderedPageBreak/>
              <w:t>ორმხრივი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კრედიტორები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  1 063 133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3 048 746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ავსტრია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18 779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53 854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აზერბაიჯანი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6 699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19 211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თურქმენეთი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211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605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4.000%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თურქეთი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12 901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36 995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3.125%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ირანი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5 094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14 607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რუსეთი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51 356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147 275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4.000%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0.037%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სომხეთი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7 132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20 452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უზბეკეთი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 98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282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უკრაინა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 90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258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ყაზახეთი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13 272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38 060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4.000%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ჩინეთი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CNY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1 288 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3 694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1 672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4 796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EURIBOR+ 0.3%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121 992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349 836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EURIBOR+ 0.75%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0.420%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0.009%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123 468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354 068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0.750%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0.017%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19 258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55 226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1.650%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554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1 587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1.900%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30 850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88 468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25 783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73 937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2.200%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13 631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39 089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4.200%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27 980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80 238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5.703%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0.029%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10 176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29 181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6.683%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იაპონია</w:t>
            </w:r>
            <w:proofErr w:type="spellEnd"/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JPY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26 777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76 787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138 977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398 545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0.650%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0.016%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1 454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4 170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1.300%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24 840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71 233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1.400%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0.006%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20 236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58 031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2.300%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კუვეიტი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KWD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750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2 150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2.500%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8 396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24 078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3.000%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ნიდერლანდები</w:t>
            </w:r>
            <w:proofErr w:type="spellEnd"/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136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390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4.200%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458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1 314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5.100%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აშშ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   153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 439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1.500%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7 014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20 114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2.000%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4 586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13 152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2.250%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 6 126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17 567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2.500%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საფრანგეთი</w:t>
            </w:r>
            <w:proofErr w:type="spellEnd"/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13 302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38 145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0.170%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22 608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64 832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1.100%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0.005%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17 826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51 118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1.270%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0.004%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32 190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92 310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1.410%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0.008%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67 151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192 570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0.194%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67 151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192 570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0.250%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0.003%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39 172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112 333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0.265%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0.002%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67 151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192 570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+ 0.6%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0.601%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0.007%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1 660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4 760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+ 1.8%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1.800%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6A75B8">
        <w:trPr>
          <w:trHeight w:val="195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2 738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7 853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EURIBOR + 2.1%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2.100%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0.001%</w:t>
            </w:r>
          </w:p>
        </w:tc>
      </w:tr>
      <w:tr w:rsidR="006A75B8" w:rsidRPr="006A75B8" w:rsidTr="007043A8">
        <w:trPr>
          <w:trHeight w:val="285"/>
        </w:trPr>
        <w:tc>
          <w:tcPr>
            <w:tcW w:w="1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ფასიანი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ქაღალდები</w:t>
            </w:r>
            <w:proofErr w:type="spellEnd"/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      500 000 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1 433 850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A75B8" w:rsidRPr="006A75B8" w:rsidTr="006A75B8">
        <w:trPr>
          <w:trHeight w:val="270"/>
        </w:trPr>
        <w:tc>
          <w:tcPr>
            <w:tcW w:w="15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ევროობლიგაცია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2021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USD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500 000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1 433 850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6.875%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0.626%</w:t>
            </w:r>
          </w:p>
        </w:tc>
      </w:tr>
      <w:tr w:rsidR="006A75B8" w:rsidRPr="006A75B8" w:rsidTr="007043A8">
        <w:trPr>
          <w:trHeight w:val="300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გარანტირებული</w:t>
            </w:r>
            <w:proofErr w:type="spellEnd"/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A75B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კრედიტები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            1 680 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               4 816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Fixed 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0.000%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 </w:t>
            </w:r>
          </w:p>
        </w:tc>
      </w:tr>
      <w:tr w:rsidR="006A75B8" w:rsidRPr="006A75B8" w:rsidTr="006A75B8">
        <w:trPr>
          <w:trHeight w:val="285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6A75B8">
              <w:rPr>
                <w:rFonts w:ascii="Sylfaen" w:eastAsia="Times New Roman" w:hAnsi="Sylfaen" w:cs="Sylfaen"/>
                <w:sz w:val="14"/>
                <w:szCs w:val="14"/>
              </w:rPr>
              <w:t>გერმანია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(</w:t>
            </w:r>
            <w:proofErr w:type="spellStart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KfW</w:t>
            </w:r>
            <w:proofErr w:type="spellEnd"/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EUR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  1 680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 xml:space="preserve">                   4 816 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Fixed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0.750%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0.000%</w:t>
            </w:r>
          </w:p>
        </w:tc>
      </w:tr>
      <w:tr w:rsidR="006A75B8" w:rsidRPr="006A75B8" w:rsidTr="006A75B8">
        <w:trPr>
          <w:trHeight w:val="363"/>
        </w:trPr>
        <w:tc>
          <w:tcPr>
            <w:tcW w:w="19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75B8" w:rsidRPr="006A75B8" w:rsidRDefault="006A75B8" w:rsidP="006A75B8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6A75B8">
              <w:rPr>
                <w:rFonts w:ascii="Calibri" w:eastAsia="Times New Roman" w:hAnsi="Calibri" w:cs="Calibri"/>
                <w:sz w:val="14"/>
                <w:szCs w:val="14"/>
              </w:rPr>
              <w:t> </w:t>
            </w:r>
          </w:p>
        </w:tc>
        <w:tc>
          <w:tcPr>
            <w:tcW w:w="245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A75B8" w:rsidRPr="007043A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7043A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საშუალო</w:t>
            </w:r>
            <w:proofErr w:type="spellEnd"/>
            <w:r w:rsidRPr="007043A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3A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7043A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3A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7043A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3A8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A75B8" w:rsidRPr="007043A8" w:rsidRDefault="006A75B8" w:rsidP="006A7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7043A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1.98%</w:t>
            </w:r>
          </w:p>
        </w:tc>
      </w:tr>
    </w:tbl>
    <w:p w:rsidR="00CB5065" w:rsidRDefault="00CB506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C65B32" w:rsidRDefault="00C65B3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C65B32" w:rsidRDefault="00C65B32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07546F" w:rsidRDefault="0007546F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797BDC" w:rsidRDefault="00B830F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E160B">
        <w:rPr>
          <w:rFonts w:ascii="Sylfaen" w:hAnsi="Sylfaen" w:cs="Sylfaen"/>
          <w:szCs w:val="21"/>
          <w:shd w:val="clear" w:color="auto" w:fill="FFFFFF"/>
          <w:lang w:val="ka-GE"/>
        </w:rPr>
        <w:t>საანგარიშო პერიოდში მიიმართა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1 240 843.2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C2136E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მათ შორის 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916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993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9F177E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323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 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849</w:t>
      </w:r>
      <w:r w:rsidR="00300938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933C6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9F177E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661E">
        <w:rPr>
          <w:rFonts w:ascii="Sylfaen" w:hAnsi="Sylfaen" w:cs="Sylfaen"/>
          <w:szCs w:val="21"/>
          <w:shd w:val="clear" w:color="auto" w:fill="FFFFFF"/>
          <w:lang w:val="ka-GE"/>
        </w:rPr>
        <w:t xml:space="preserve">-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CC3840" w:rsidRDefault="00CC3840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4E4988" w:rsidRDefault="004E498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4E4988" w:rsidRDefault="004E4988" w:rsidP="00137A54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4E4988" w:rsidRDefault="004E4988" w:rsidP="00FB01F8">
      <w:pPr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4816BC" w:rsidRDefault="00FE7942" w:rsidP="00FB01F8">
      <w:pPr>
        <w:jc w:val="center"/>
        <w:rPr>
          <w:rFonts w:ascii="Sylfaen" w:hAnsi="Sylfaen"/>
          <w:b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0F5720" w:rsidRPr="00504D30">
        <w:rPr>
          <w:rFonts w:ascii="Sylfaen" w:hAnsi="Sylfaen"/>
          <w:b/>
          <w:lang w:val="ka-GE"/>
        </w:rPr>
        <w:t>201</w:t>
      </w:r>
      <w:r w:rsidR="00784855">
        <w:rPr>
          <w:rFonts w:ascii="Sylfaen" w:hAnsi="Sylfaen"/>
          <w:b/>
          <w:lang w:val="ka-GE"/>
        </w:rPr>
        <w:t>9</w:t>
      </w:r>
      <w:r w:rsidR="000F5720" w:rsidRPr="00504D30">
        <w:rPr>
          <w:rFonts w:ascii="Sylfaen" w:hAnsi="Sylfaen"/>
          <w:b/>
          <w:lang w:val="ka-GE"/>
        </w:rPr>
        <w:t xml:space="preserve"> წლის </w:t>
      </w:r>
      <w:r w:rsidR="00D933C6">
        <w:rPr>
          <w:rFonts w:ascii="Sylfaen" w:hAnsi="Sylfaen"/>
          <w:b/>
          <w:lang w:val="ka-GE"/>
        </w:rPr>
        <w:t>31</w:t>
      </w:r>
      <w:r w:rsidR="000F5720" w:rsidRPr="00504D30">
        <w:rPr>
          <w:rFonts w:ascii="Sylfaen" w:hAnsi="Sylfaen"/>
          <w:b/>
          <w:lang w:val="ka-GE"/>
        </w:rPr>
        <w:t xml:space="preserve"> </w:t>
      </w:r>
      <w:r w:rsidR="00D933C6">
        <w:rPr>
          <w:rFonts w:ascii="Sylfaen" w:hAnsi="Sylfaen"/>
          <w:b/>
          <w:lang w:val="ka-GE"/>
        </w:rPr>
        <w:t>დეკემბრის</w:t>
      </w:r>
      <w:r w:rsidR="00FD691A">
        <w:rPr>
          <w:rFonts w:ascii="Sylfaen" w:hAnsi="Sylfaen"/>
          <w:b/>
          <w:lang w:val="ka-GE"/>
        </w:rPr>
        <w:t xml:space="preserve"> მდგომარეობით</w:t>
      </w:r>
    </w:p>
    <w:p w:rsidR="004E4988" w:rsidRDefault="004E4988" w:rsidP="00FB01F8">
      <w:pPr>
        <w:jc w:val="center"/>
        <w:rPr>
          <w:rFonts w:ascii="Sylfaen" w:hAnsi="Sylfaen"/>
          <w:b/>
          <w:lang w:val="ka-GE"/>
        </w:rPr>
      </w:pPr>
    </w:p>
    <w:p w:rsidR="00B34FAA" w:rsidRPr="00BB79CB" w:rsidRDefault="00B62FE2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b/>
          <w:i/>
          <w:noProof/>
          <w:color w:val="000000"/>
          <w:sz w:val="16"/>
          <w:szCs w:val="18"/>
          <w:lang w:val="ka-GE"/>
        </w:rPr>
      </w:pPr>
      <w:r w:rsidRPr="00BB79CB">
        <w:rPr>
          <w:rFonts w:ascii="Sylfaen" w:hAnsi="Sylfaen"/>
          <w:b/>
          <w:i/>
          <w:noProof/>
          <w:color w:val="000000"/>
          <w:sz w:val="16"/>
          <w:szCs w:val="18"/>
        </w:rPr>
        <w:t xml:space="preserve">     </w:t>
      </w:r>
      <w:r w:rsidR="00FB01F8" w:rsidRPr="00BB79CB">
        <w:rPr>
          <w:rFonts w:ascii="Sylfaen" w:hAnsi="Sylfaen"/>
          <w:b/>
          <w:i/>
          <w:noProof/>
          <w:color w:val="000000"/>
          <w:sz w:val="16"/>
          <w:szCs w:val="18"/>
          <w:lang w:val="ka-GE"/>
        </w:rPr>
        <w:t>ათასი ლარი</w:t>
      </w:r>
    </w:p>
    <w:tbl>
      <w:tblPr>
        <w:tblStyle w:val="TableGrid"/>
        <w:tblW w:w="835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85"/>
      </w:tblGrid>
      <w:tr w:rsidR="00D933C6" w:rsidRPr="00300938" w:rsidTr="00D933C6">
        <w:trPr>
          <w:trHeight w:val="345"/>
        </w:trPr>
        <w:tc>
          <w:tcPr>
            <w:tcW w:w="2405" w:type="dxa"/>
            <w:noWrap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2019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4E498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3633.4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424.0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4057.3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5335.4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844.9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6180.3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14959.2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5028.6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19987.8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69978.9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24859.3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94838.2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6871.4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1304.6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8176.1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4249.0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704.4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4953.4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3140.3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632.4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3772.7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2541.4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484.5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3025.9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12137.6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6795.5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18933.0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604.1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104.7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708.8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28200.0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6686.3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34886.3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5941.0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1321.6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7262.6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108.7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10.1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118.7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119.0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11.0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130.0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72726.3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6934.5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79660.8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1006.7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0.0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1006.7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 xml:space="preserve">IDA 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276861.4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30234.4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307095.8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IBRD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36833.0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79022.7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115855.8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IFAD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3114.9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993.1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4108.0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EBRD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37951.9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3935.5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41887.4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EIB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25705.7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6326.5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32032.3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ADB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167917.1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46605.2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214522.3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IMF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137057.0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2044.0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139101.0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EU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0.0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1239.9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1239.9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CEB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0.0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2.9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2.9</w:t>
            </w:r>
          </w:p>
        </w:tc>
      </w:tr>
      <w:tr w:rsidR="00D933C6" w:rsidRPr="00300938" w:rsidTr="00D933C6">
        <w:trPr>
          <w:trHeight w:val="300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NEFCO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0.0</w:t>
            </w:r>
          </w:p>
        </w:tc>
        <w:tc>
          <w:tcPr>
            <w:tcW w:w="1984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42.1</w:t>
            </w:r>
          </w:p>
        </w:tc>
        <w:tc>
          <w:tcPr>
            <w:tcW w:w="1985" w:type="dxa"/>
            <w:noWrap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42.1</w:t>
            </w:r>
          </w:p>
        </w:tc>
      </w:tr>
      <w:tr w:rsidR="00D933C6" w:rsidRPr="00300938" w:rsidTr="00D933C6">
        <w:trPr>
          <w:trHeight w:val="294"/>
        </w:trPr>
        <w:tc>
          <w:tcPr>
            <w:tcW w:w="2405" w:type="dxa"/>
            <w:vAlign w:val="center"/>
            <w:hideMark/>
          </w:tcPr>
          <w:p w:rsidR="00D933C6" w:rsidRDefault="00D933C6" w:rsidP="00D933C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0.0</w:t>
            </w:r>
          </w:p>
        </w:tc>
        <w:tc>
          <w:tcPr>
            <w:tcW w:w="1984" w:type="dxa"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97257.2</w:t>
            </w:r>
          </w:p>
        </w:tc>
        <w:tc>
          <w:tcPr>
            <w:tcW w:w="1985" w:type="dxa"/>
            <w:vAlign w:val="center"/>
            <w:hideMark/>
          </w:tcPr>
          <w:p w:rsidR="00D933C6" w:rsidRDefault="00D933C6" w:rsidP="00D933C6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</w:rPr>
              <w:t>97257.2</w:t>
            </w:r>
          </w:p>
        </w:tc>
      </w:tr>
      <w:tr w:rsidR="00D933C6" w:rsidRPr="00D933C6" w:rsidTr="00D933C6">
        <w:trPr>
          <w:trHeight w:val="245"/>
        </w:trPr>
        <w:tc>
          <w:tcPr>
            <w:tcW w:w="2405" w:type="dxa"/>
            <w:hideMark/>
          </w:tcPr>
          <w:p w:rsidR="00D933C6" w:rsidRPr="00D933C6" w:rsidRDefault="00D933C6" w:rsidP="00D933C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D933C6">
              <w:rPr>
                <w:rFonts w:ascii="Sylfaen" w:eastAsia="Times New Roman" w:hAnsi="Sylfaen" w:cs="Sylfaen"/>
                <w:b/>
                <w:bCs/>
                <w:i/>
                <w:iCs/>
                <w:sz w:val="20"/>
                <w:szCs w:val="20"/>
              </w:rPr>
              <w:t>სულ</w:t>
            </w:r>
            <w:proofErr w:type="spellEnd"/>
            <w:r w:rsidRPr="00D933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:rsidR="00D933C6" w:rsidRPr="00D933C6" w:rsidRDefault="00D933C6" w:rsidP="00D933C6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933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         916 993.4 </w:t>
            </w:r>
          </w:p>
        </w:tc>
        <w:tc>
          <w:tcPr>
            <w:tcW w:w="1984" w:type="dxa"/>
            <w:hideMark/>
          </w:tcPr>
          <w:p w:rsidR="00D933C6" w:rsidRPr="00D933C6" w:rsidRDefault="00D933C6" w:rsidP="00D933C6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933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          323 849.8 </w:t>
            </w:r>
          </w:p>
        </w:tc>
        <w:tc>
          <w:tcPr>
            <w:tcW w:w="1985" w:type="dxa"/>
            <w:hideMark/>
          </w:tcPr>
          <w:p w:rsidR="00D933C6" w:rsidRPr="00D933C6" w:rsidRDefault="00D933C6" w:rsidP="00D933C6">
            <w:pPr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933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      1 240 843.2 </w:t>
            </w:r>
          </w:p>
        </w:tc>
      </w:tr>
    </w:tbl>
    <w:p w:rsidR="00B34FAA" w:rsidRDefault="00B34FAA" w:rsidP="000C416D">
      <w:pPr>
        <w:tabs>
          <w:tab w:val="left" w:pos="0"/>
          <w:tab w:val="left" w:pos="9356"/>
        </w:tabs>
        <w:spacing w:after="0" w:line="240" w:lineRule="auto"/>
        <w:ind w:right="852" w:firstLine="720"/>
        <w:jc w:val="right"/>
        <w:rPr>
          <w:rFonts w:ascii="Sylfaen" w:hAnsi="Sylfaen"/>
          <w:i/>
          <w:noProof/>
          <w:color w:val="000000"/>
          <w:sz w:val="16"/>
          <w:szCs w:val="18"/>
          <w:lang w:val="ka-GE"/>
        </w:rPr>
      </w:pPr>
    </w:p>
    <w:p w:rsidR="0007546F" w:rsidRDefault="0007546F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sz w:val="12"/>
          <w:szCs w:val="12"/>
          <w:lang w:val="ka-GE"/>
        </w:rPr>
      </w:pPr>
    </w:p>
    <w:p w:rsidR="009E33C4" w:rsidRPr="00B57E95" w:rsidRDefault="00B57E95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sz w:val="12"/>
          <w:szCs w:val="12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2774D0">
        <w:rPr>
          <w:rFonts w:ascii="Sylfaen" w:hAnsi="Sylfaen" w:cs="Sylfaen"/>
          <w:szCs w:val="21"/>
          <w:shd w:val="clear" w:color="auto" w:fill="FFFFFF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CA322C">
        <w:rPr>
          <w:rFonts w:ascii="Sylfaen" w:hAnsi="Sylfaen" w:cs="Sylfaen"/>
          <w:szCs w:val="21"/>
          <w:shd w:val="clear" w:color="auto" w:fill="FFFFFF"/>
        </w:rPr>
        <w:t>.4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863DFC" w:rsidRDefault="00567ACE" w:rsidP="004E4988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2774D0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 w:rsidR="00CA322C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2774D0">
        <w:rPr>
          <w:rFonts w:ascii="Sylfaen" w:hAnsi="Sylfaen" w:cs="Sylfaen"/>
          <w:shd w:val="clear" w:color="auto" w:fill="FFFFFF"/>
          <w:lang w:val="ka-GE"/>
        </w:rPr>
        <w:t>4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2774D0">
        <w:rPr>
          <w:rFonts w:ascii="Sylfaen" w:hAnsi="Sylfaen" w:cs="Sylfaen"/>
          <w:shd w:val="clear" w:color="auto" w:fill="FFFFFF"/>
          <w:lang w:val="ka-GE"/>
        </w:rPr>
        <w:t>166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hd w:val="clear" w:color="auto" w:fill="FFFFFF"/>
          <w:lang w:val="ka-GE"/>
        </w:rPr>
        <w:t>0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2774D0">
        <w:rPr>
          <w:rFonts w:ascii="Sylfaen" w:hAnsi="Sylfaen" w:cs="Sylfaen"/>
          <w:shd w:val="clear" w:color="auto" w:fill="FFFFFF"/>
        </w:rPr>
        <w:t>4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2774D0">
        <w:rPr>
          <w:rFonts w:ascii="Sylfaen" w:hAnsi="Sylfaen" w:cs="Sylfaen"/>
          <w:shd w:val="clear" w:color="auto" w:fill="FFFFFF"/>
        </w:rPr>
        <w:t>20</w:t>
      </w:r>
      <w:r w:rsidR="00C721F3">
        <w:rPr>
          <w:rFonts w:ascii="Sylfaen" w:hAnsi="Sylfaen" w:cs="Sylfaen"/>
          <w:shd w:val="clear" w:color="auto" w:fill="FFFFFF"/>
          <w:lang w:val="ka-GE"/>
        </w:rPr>
        <w:t>0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C721F3">
        <w:rPr>
          <w:rFonts w:ascii="Sylfaen" w:hAnsi="Sylfaen" w:cs="Sylfaen"/>
          <w:shd w:val="clear" w:color="auto" w:fill="FFFFFF"/>
          <w:lang w:val="ka-GE"/>
        </w:rPr>
        <w:t>0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CA322C">
        <w:rPr>
          <w:rFonts w:ascii="Sylfaen" w:hAnsi="Sylfaen"/>
          <w:szCs w:val="21"/>
          <w:shd w:val="clear" w:color="auto" w:fill="FFFFFF"/>
          <w:lang w:val="ka-GE"/>
        </w:rPr>
        <w:t>6.</w:t>
      </w:r>
      <w:r w:rsidR="002774D0">
        <w:rPr>
          <w:rFonts w:ascii="Sylfaen" w:hAnsi="Sylfaen"/>
          <w:szCs w:val="21"/>
          <w:shd w:val="clear" w:color="auto" w:fill="FFFFFF"/>
        </w:rPr>
        <w:t>8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2774D0">
        <w:rPr>
          <w:rFonts w:ascii="Sylfaen" w:hAnsi="Sylfaen" w:cs="Sylfaen"/>
          <w:shd w:val="clear" w:color="auto" w:fill="FFFFFF"/>
        </w:rPr>
        <w:t>766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2774D0">
        <w:rPr>
          <w:rFonts w:ascii="Sylfaen" w:hAnsi="Sylfaen" w:cs="Sylfaen"/>
          <w:shd w:val="clear" w:color="auto" w:fill="FFFFFF"/>
        </w:rPr>
        <w:t>4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</w:t>
      </w:r>
      <w:r w:rsidR="002774D0">
        <w:rPr>
          <w:rFonts w:ascii="Sylfaen" w:hAnsi="Sylfaen" w:cs="Sylfaen"/>
          <w:shd w:val="clear" w:color="auto" w:fill="FFFFFF"/>
        </w:rPr>
        <w:t>392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</w:t>
      </w:r>
      <w:r w:rsidR="00E51277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E51277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2774D0">
        <w:rPr>
          <w:rFonts w:ascii="Sylfaen" w:hAnsi="Sylfaen"/>
          <w:szCs w:val="21"/>
          <w:shd w:val="clear" w:color="auto" w:fill="FFFFFF"/>
          <w:lang w:val="ka-GE"/>
        </w:rPr>
        <w:t>6.8</w:t>
      </w:r>
      <w:r w:rsidR="00E51277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E51277">
        <w:rPr>
          <w:rFonts w:ascii="Sylfaen" w:hAnsi="Sylfaen"/>
          <w:szCs w:val="21"/>
          <w:shd w:val="clear" w:color="auto" w:fill="FFFFFF"/>
          <w:lang w:val="ka-GE"/>
        </w:rPr>
        <w:t>ი.</w:t>
      </w:r>
    </w:p>
    <w:p w:rsidR="00C65B32" w:rsidRDefault="00C65B32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201</w:t>
      </w:r>
      <w:r w:rsidR="001E6B6E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9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წლის </w:t>
      </w:r>
      <w:r w:rsidR="002774D0">
        <w:rPr>
          <w:rFonts w:ascii="Sylfaen" w:hAnsi="Sylfaen" w:cs="Sylfaen"/>
          <w:b/>
          <w:sz w:val="20"/>
          <w:szCs w:val="20"/>
          <w:shd w:val="clear" w:color="auto" w:fill="FFFFFF"/>
        </w:rPr>
        <w:t>31</w:t>
      </w:r>
      <w:r w:rsidR="00164B20" w:rsidRPr="00B2672E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2774D0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დეკემბრის</w:t>
      </w:r>
      <w:r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F26066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C65B32" w:rsidRDefault="00C65B32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07546F" w:rsidRPr="00B2672E" w:rsidRDefault="0007546F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F26066" w:rsidRPr="00BB79CB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BB79C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50"/>
        <w:gridCol w:w="2993"/>
      </w:tblGrid>
      <w:tr w:rsidR="002774D0" w:rsidRPr="00B34FAA" w:rsidTr="002774D0">
        <w:trPr>
          <w:trHeight w:val="343"/>
          <w:jc w:val="center"/>
        </w:trPr>
        <w:tc>
          <w:tcPr>
            <w:tcW w:w="3539" w:type="pct"/>
            <w:vAlign w:val="center"/>
            <w:hideMark/>
          </w:tcPr>
          <w:p w:rsidR="002774D0" w:rsidRPr="00B34FAA" w:rsidRDefault="002774D0" w:rsidP="002774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2774D0" w:rsidRPr="002774D0" w:rsidRDefault="002774D0" w:rsidP="002774D0">
            <w:pPr>
              <w:jc w:val="center"/>
              <w:rPr>
                <w:b/>
              </w:rPr>
            </w:pPr>
            <w:r w:rsidRPr="002774D0">
              <w:rPr>
                <w:b/>
              </w:rPr>
              <w:t>4 206 787.2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2774D0" w:rsidRPr="00B34FAA" w:rsidRDefault="002774D0" w:rsidP="002774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  <w:hideMark/>
          </w:tcPr>
          <w:p w:rsidR="002774D0" w:rsidRPr="002774D0" w:rsidRDefault="002774D0" w:rsidP="002774D0">
            <w:pPr>
              <w:jc w:val="center"/>
              <w:rPr>
                <w:b/>
              </w:rPr>
            </w:pPr>
            <w:r w:rsidRPr="002774D0">
              <w:rPr>
                <w:b/>
              </w:rPr>
              <w:t>3 807 169.0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461" w:type="pct"/>
          </w:tcPr>
          <w:p w:rsidR="002774D0" w:rsidRPr="00535EB9" w:rsidRDefault="002774D0" w:rsidP="002774D0">
            <w:pPr>
              <w:jc w:val="center"/>
            </w:pPr>
            <w:r w:rsidRPr="00535EB9">
              <w:t>259 000.0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2774D0" w:rsidRPr="00DD66EB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540 000.0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1 043 151.0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1 472 498.0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492 520.0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2774D0" w:rsidRPr="00B34FAA" w:rsidRDefault="002774D0" w:rsidP="002774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461" w:type="pct"/>
          </w:tcPr>
          <w:p w:rsidR="002774D0" w:rsidRPr="00CC3840" w:rsidRDefault="002774D0" w:rsidP="002774D0">
            <w:pPr>
              <w:jc w:val="center"/>
              <w:rPr>
                <w:b/>
              </w:rPr>
            </w:pPr>
            <w:r w:rsidRPr="00CC3840">
              <w:rPr>
                <w:b/>
              </w:rPr>
              <w:t>392 846.0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240 846.0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2774D0" w:rsidRPr="00B34FAA" w:rsidRDefault="002774D0" w:rsidP="002774D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hideMark/>
          </w:tcPr>
          <w:p w:rsidR="002774D0" w:rsidRPr="00535EB9" w:rsidRDefault="002774D0" w:rsidP="002774D0">
            <w:pPr>
              <w:jc w:val="center"/>
            </w:pPr>
            <w:r w:rsidRPr="00535EB9">
              <w:t>152 000.0</w:t>
            </w:r>
          </w:p>
        </w:tc>
      </w:tr>
      <w:tr w:rsidR="002774D0" w:rsidRPr="00B34FAA" w:rsidTr="00C721F3">
        <w:trPr>
          <w:trHeight w:val="288"/>
          <w:jc w:val="center"/>
        </w:trPr>
        <w:tc>
          <w:tcPr>
            <w:tcW w:w="3539" w:type="pct"/>
            <w:vAlign w:val="center"/>
          </w:tcPr>
          <w:p w:rsidR="002774D0" w:rsidRPr="00B34FAA" w:rsidRDefault="002774D0" w:rsidP="002774D0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</w:tcPr>
          <w:p w:rsidR="002774D0" w:rsidRPr="00CC3840" w:rsidRDefault="002774D0" w:rsidP="002774D0">
            <w:pPr>
              <w:jc w:val="center"/>
              <w:rPr>
                <w:b/>
              </w:rPr>
            </w:pPr>
            <w:r w:rsidRPr="00CC3840">
              <w:rPr>
                <w:b/>
              </w:rPr>
              <w:t>6 772.2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07546F" w:rsidRDefault="0007546F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1E6B6E">
        <w:rPr>
          <w:rFonts w:ascii="Sylfaen" w:hAnsi="Sylfaen" w:cs="Sylfaen"/>
          <w:lang w:val="ka-GE"/>
        </w:rPr>
        <w:t>9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B2672E">
        <w:rPr>
          <w:rFonts w:ascii="Sylfaen" w:hAnsi="Sylfaen" w:cs="Sylfaen"/>
          <w:szCs w:val="18"/>
          <w:shd w:val="clear" w:color="auto" w:fill="FFFFFF"/>
          <w:lang w:val="ka-GE"/>
        </w:rPr>
        <w:t>3</w:t>
      </w:r>
      <w:r w:rsidR="00CC3840">
        <w:rPr>
          <w:rFonts w:ascii="Sylfaen" w:hAnsi="Sylfaen" w:cs="Sylfaen"/>
          <w:szCs w:val="18"/>
          <w:shd w:val="clear" w:color="auto" w:fill="FFFFFF"/>
          <w:lang w:val="ka-GE"/>
        </w:rPr>
        <w:t>1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 </w:t>
      </w:r>
      <w:r w:rsidR="00CC3840">
        <w:rPr>
          <w:rFonts w:ascii="Sylfaen" w:hAnsi="Sylfaen" w:cs="Sylfaen"/>
          <w:szCs w:val="18"/>
          <w:shd w:val="clear" w:color="auto" w:fill="FFFFFF"/>
          <w:lang w:val="ka-GE"/>
        </w:rPr>
        <w:t>დეკემბრის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CC3840" w:rsidRPr="00CC3840">
        <w:rPr>
          <w:rFonts w:ascii="Sylfaen" w:hAnsi="Sylfaen" w:cs="Sylfaen"/>
          <w:lang w:val="ka-GE"/>
        </w:rPr>
        <w:t>2</w:t>
      </w:r>
      <w:r w:rsidR="00CC3840">
        <w:rPr>
          <w:rFonts w:ascii="Sylfaen" w:hAnsi="Sylfaen" w:cs="Sylfaen"/>
          <w:lang w:val="ka-GE"/>
        </w:rPr>
        <w:t> </w:t>
      </w:r>
      <w:r w:rsidR="00CC3840" w:rsidRPr="00CC3840">
        <w:rPr>
          <w:rFonts w:ascii="Sylfaen" w:hAnsi="Sylfaen" w:cs="Sylfaen"/>
          <w:lang w:val="ka-GE"/>
        </w:rPr>
        <w:t>288</w:t>
      </w:r>
      <w:r w:rsidR="00CC3840">
        <w:rPr>
          <w:rFonts w:ascii="Sylfaen" w:hAnsi="Sylfaen" w:cs="Sylfaen"/>
          <w:lang w:val="ka-GE"/>
        </w:rPr>
        <w:t xml:space="preserve"> </w:t>
      </w:r>
      <w:r w:rsidR="00CC3840" w:rsidRPr="00CC3840">
        <w:rPr>
          <w:rFonts w:ascii="Sylfaen" w:hAnsi="Sylfaen" w:cs="Sylfaen"/>
          <w:lang w:val="ka-GE"/>
        </w:rPr>
        <w:t>035.2</w:t>
      </w:r>
      <w:r w:rsidR="00CC3840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CC3840" w:rsidRPr="00CC3840">
        <w:rPr>
          <w:rFonts w:ascii="Sylfaen" w:hAnsi="Sylfaen" w:cs="Sylfaen"/>
          <w:lang w:val="ka-GE"/>
        </w:rPr>
        <w:t>1</w:t>
      </w:r>
      <w:r w:rsidR="00CC3840">
        <w:rPr>
          <w:rFonts w:ascii="Sylfaen" w:hAnsi="Sylfaen" w:cs="Sylfaen"/>
          <w:lang w:val="ka-GE"/>
        </w:rPr>
        <w:t> </w:t>
      </w:r>
      <w:r w:rsidR="00CC3840" w:rsidRPr="00CC3840">
        <w:rPr>
          <w:rFonts w:ascii="Sylfaen" w:hAnsi="Sylfaen" w:cs="Sylfaen"/>
          <w:lang w:val="ka-GE"/>
        </w:rPr>
        <w:t>339</w:t>
      </w:r>
      <w:r w:rsidR="00CC3840">
        <w:rPr>
          <w:rFonts w:ascii="Sylfaen" w:hAnsi="Sylfaen" w:cs="Sylfaen"/>
          <w:lang w:val="ka-GE"/>
        </w:rPr>
        <w:t xml:space="preserve"> </w:t>
      </w:r>
      <w:r w:rsidR="00CC3840" w:rsidRPr="00CC3840">
        <w:rPr>
          <w:rFonts w:ascii="Sylfaen" w:hAnsi="Sylfaen" w:cs="Sylfaen"/>
          <w:lang w:val="ka-GE"/>
        </w:rPr>
        <w:t>26</w:t>
      </w:r>
      <w:r w:rsidR="00CC3840">
        <w:rPr>
          <w:rFonts w:ascii="Sylfaen" w:hAnsi="Sylfaen" w:cs="Sylfaen"/>
          <w:lang w:val="ka-GE"/>
        </w:rPr>
        <w:t>4</w:t>
      </w:r>
      <w:r w:rsidR="00CC3840" w:rsidRPr="00CC3840">
        <w:rPr>
          <w:rFonts w:ascii="Sylfaen" w:hAnsi="Sylfaen" w:cs="Sylfaen"/>
          <w:lang w:val="ka-GE"/>
        </w:rPr>
        <w:t>.</w:t>
      </w:r>
      <w:r w:rsidR="00CC3840">
        <w:rPr>
          <w:rFonts w:ascii="Sylfaen" w:hAnsi="Sylfaen" w:cs="Sylfaen"/>
          <w:lang w:val="ka-GE"/>
        </w:rPr>
        <w:t xml:space="preserve">0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CC3840" w:rsidRPr="00CC3840">
        <w:rPr>
          <w:rFonts w:ascii="Sylfaen" w:hAnsi="Sylfaen" w:cs="Sylfaen"/>
          <w:lang w:val="ka-GE"/>
        </w:rPr>
        <w:t>948</w:t>
      </w:r>
      <w:r w:rsidR="00CC3840">
        <w:rPr>
          <w:rFonts w:ascii="Sylfaen" w:hAnsi="Sylfaen" w:cs="Sylfaen"/>
          <w:lang w:val="ka-GE"/>
        </w:rPr>
        <w:t xml:space="preserve"> </w:t>
      </w:r>
      <w:r w:rsidR="00CC3840" w:rsidRPr="00CC3840">
        <w:rPr>
          <w:rFonts w:ascii="Sylfaen" w:hAnsi="Sylfaen" w:cs="Sylfaen"/>
          <w:lang w:val="ka-GE"/>
        </w:rPr>
        <w:t>771.2</w:t>
      </w:r>
      <w:r w:rsidR="00CC3840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ობლიგაციები</w:t>
      </w:r>
      <w:r w:rsidR="00994CC0">
        <w:rPr>
          <w:rFonts w:ascii="Sylfaen" w:hAnsi="Sylfaen" w:cs="Sylfaen"/>
          <w:lang w:val="ka-GE"/>
        </w:rPr>
        <w:t xml:space="preserve"> ღია ბაზრის ოპერაციებისთვის</w:t>
      </w:r>
      <w:r w:rsidR="00F26066" w:rsidRPr="004464CC">
        <w:rPr>
          <w:rFonts w:ascii="Sylfaen" w:hAnsi="Sylfaen" w:cs="Sylfaen"/>
          <w:lang w:val="ka-GE"/>
        </w:rPr>
        <w:t xml:space="preserve"> ძირითადი თანხის დაფარვა (სებ-ის მიმართ ვალი) </w:t>
      </w:r>
      <w:r w:rsidR="00CC3840">
        <w:rPr>
          <w:rFonts w:ascii="Sylfaen" w:hAnsi="Sylfaen" w:cs="Sylfaen"/>
          <w:lang w:val="ka-GE"/>
        </w:rPr>
        <w:t>40</w:t>
      </w:r>
      <w:r w:rsidR="00603BE0">
        <w:rPr>
          <w:rFonts w:ascii="Sylfaen" w:hAnsi="Sylfaen" w:cs="Sylfaen"/>
          <w:lang w:val="ka-GE"/>
        </w:rPr>
        <w:t xml:space="preserve"> </w:t>
      </w:r>
      <w:r w:rsidR="00F26066" w:rsidRPr="00FB7087">
        <w:rPr>
          <w:rFonts w:ascii="Sylfaen" w:hAnsi="Sylfaen" w:cs="Sylfaen"/>
          <w:lang w:val="ka-GE"/>
        </w:rPr>
        <w:t>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E97721" w:rsidRDefault="00E97721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4E4988" w:rsidRDefault="004E4988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4150CD" w:rsidRDefault="0075480C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მთავრობის</w:t>
      </w:r>
      <w:r w:rsidR="000340AB" w:rsidRPr="00B4160B">
        <w:rPr>
          <w:rFonts w:ascii="Sylfaen" w:hAnsi="Sylfaen"/>
          <w:b/>
          <w:lang w:val="ka-GE"/>
        </w:rPr>
        <w:t xml:space="preserve"> ვალის</w:t>
      </w:r>
      <w:r w:rsidR="000340AB"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1E6B6E">
        <w:rPr>
          <w:rFonts w:ascii="Sylfaen" w:hAnsi="Sylfaen"/>
          <w:b/>
        </w:rPr>
        <w:t>9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="000340AB" w:rsidRPr="00B4160B">
        <w:rPr>
          <w:rFonts w:ascii="Sylfaen" w:hAnsi="Sylfaen"/>
          <w:b/>
          <w:lang w:val="ka-GE"/>
        </w:rPr>
        <w:t xml:space="preserve">წლის </w:t>
      </w:r>
      <w:r w:rsidR="00CC3840">
        <w:rPr>
          <w:rFonts w:ascii="Sylfaen" w:hAnsi="Sylfaen"/>
          <w:b/>
          <w:lang w:val="ka-GE"/>
        </w:rPr>
        <w:t>31</w:t>
      </w:r>
      <w:r w:rsidR="00FA187E">
        <w:rPr>
          <w:rFonts w:ascii="Sylfaen" w:hAnsi="Sylfaen"/>
          <w:b/>
          <w:lang w:val="ka-GE"/>
        </w:rPr>
        <w:t xml:space="preserve"> </w:t>
      </w:r>
      <w:r w:rsidR="00CC3840">
        <w:rPr>
          <w:rFonts w:ascii="Sylfaen" w:hAnsi="Sylfaen"/>
          <w:b/>
          <w:lang w:val="ka-GE"/>
        </w:rPr>
        <w:t>დეკემბრის</w:t>
      </w:r>
      <w:r w:rsidR="00861F1F">
        <w:rPr>
          <w:rFonts w:ascii="Sylfaen" w:hAnsi="Sylfaen"/>
          <w:b/>
          <w:lang w:val="ka-GE"/>
        </w:rPr>
        <w:t xml:space="preserve"> </w:t>
      </w:r>
      <w:r w:rsidR="000340AB">
        <w:rPr>
          <w:rFonts w:ascii="Sylfaen" w:hAnsi="Sylfaen"/>
          <w:b/>
          <w:lang w:val="ka-GE"/>
        </w:rPr>
        <w:t>მდგომარეობით</w:t>
      </w:r>
    </w:p>
    <w:p w:rsidR="00E97721" w:rsidRDefault="00E97721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</w:p>
    <w:p w:rsidR="00CC3840" w:rsidRDefault="000A553C" w:rsidP="007043A8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27"/>
        <w:gridCol w:w="2027"/>
      </w:tblGrid>
      <w:tr w:rsidR="004E4988" w:rsidRPr="004E4988" w:rsidTr="007043A8">
        <w:trPr>
          <w:trHeight w:val="501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bookmarkStart w:id="0" w:name="RANGE!C3:D44"/>
            <w:bookmarkStart w:id="1" w:name="_GoBack"/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31.12.2019</w:t>
            </w:r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E498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E4988" w:rsidRPr="004E4988" w:rsidTr="007043A8">
        <w:trPr>
          <w:trHeight w:val="427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15 749 709.5</w:t>
            </w:r>
          </w:p>
        </w:tc>
      </w:tr>
      <w:tr w:rsidR="004E4988" w:rsidRPr="004E4988" w:rsidTr="007043A8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11 262 297.1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5 374 189.5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სოფლის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94 446.7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ფონდი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და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377 210.3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3 583 828.9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1 628 976.6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121 961.0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აზიის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76 470.7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2 893.4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2 319.9</w:t>
            </w:r>
          </w:p>
        </w:tc>
      </w:tr>
      <w:tr w:rsidR="004E4988" w:rsidRPr="004E4988" w:rsidTr="007043A8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3 048 746.1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53 853.7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19 210.7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605.3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თურქეთი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36 995.1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14 607.1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147 275.0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20 451.6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უზბეკეთი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უკრაინა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257.6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38 059.6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ჩინეთი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3 694.1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1 076 423.2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608 766.3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26 228.1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1 704.0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ამერიკა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51 271.2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949 061.5</w:t>
            </w:r>
          </w:p>
        </w:tc>
      </w:tr>
      <w:tr w:rsidR="004E4988" w:rsidRPr="004E4988" w:rsidTr="007043A8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1 433 850.0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ევრობონდები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1 433 850.0</w:t>
            </w:r>
          </w:p>
        </w:tc>
      </w:tr>
      <w:tr w:rsidR="004E4988" w:rsidRPr="004E4988" w:rsidTr="007043A8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4 816.3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4 816.3</w:t>
            </w:r>
          </w:p>
        </w:tc>
      </w:tr>
      <w:tr w:rsidR="004E4988" w:rsidRPr="004E4988" w:rsidTr="007043A8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4 165 997.3</w:t>
            </w:r>
          </w:p>
        </w:tc>
      </w:tr>
      <w:tr w:rsidR="004E4988" w:rsidRPr="004E4988" w:rsidTr="007043A8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240 846.0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ვადის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ღია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ბაზრის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152 000.0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751 593.9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4E49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3 014 785.2</w:t>
            </w:r>
          </w:p>
        </w:tc>
      </w:tr>
      <w:tr w:rsidR="004E4988" w:rsidRPr="004E4988" w:rsidTr="007043A8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სესხის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სახით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არსებულ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ვალი</w:t>
            </w:r>
            <w:proofErr w:type="spellEnd"/>
            <w:r w:rsidRPr="004E4988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6 772.2</w:t>
            </w:r>
          </w:p>
        </w:tc>
      </w:tr>
      <w:tr w:rsidR="004E4988" w:rsidRPr="004E4988" w:rsidTr="007043A8">
        <w:trPr>
          <w:trHeight w:val="427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4E49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98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4E4988" w:rsidRPr="004E4988" w:rsidRDefault="004E4988" w:rsidP="004E49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E49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19 915 706.9</w:t>
            </w:r>
          </w:p>
        </w:tc>
      </w:tr>
    </w:tbl>
    <w:bookmarkEnd w:id="1"/>
    <w:p w:rsidR="000340AB" w:rsidRPr="00AD6A17" w:rsidRDefault="00B62FE2" w:rsidP="004E4988">
      <w:pPr>
        <w:spacing w:after="0" w:line="240" w:lineRule="auto"/>
        <w:rPr>
          <w:rFonts w:ascii="Sylfaen" w:hAnsi="Sylfaen" w:cs="Sylfaen"/>
          <w:i/>
          <w:sz w:val="16"/>
          <w:szCs w:val="16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br w:type="textWrapping" w:clear="all"/>
      </w:r>
      <w:proofErr w:type="spellStart"/>
      <w:proofErr w:type="gramStart"/>
      <w:r w:rsidR="000340AB" w:rsidRPr="00B01FEA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proofErr w:type="gramEnd"/>
      <w:r w:rsidR="000340AB" w:rsidRPr="00B01FEA">
        <w:rPr>
          <w:i/>
          <w:sz w:val="16"/>
          <w:szCs w:val="16"/>
        </w:rPr>
        <w:t xml:space="preserve">: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B01FEA">
        <w:rPr>
          <w:i/>
          <w:sz w:val="16"/>
          <w:szCs w:val="16"/>
        </w:rPr>
        <w:t xml:space="preserve">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B01FEA">
        <w:rPr>
          <w:i/>
          <w:sz w:val="16"/>
          <w:szCs w:val="16"/>
        </w:rPr>
        <w:t xml:space="preserve">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B01FEA">
        <w:rPr>
          <w:i/>
          <w:sz w:val="16"/>
          <w:szCs w:val="16"/>
        </w:rPr>
        <w:t xml:space="preserve">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B01FEA">
        <w:rPr>
          <w:i/>
          <w:sz w:val="16"/>
          <w:szCs w:val="16"/>
        </w:rPr>
        <w:t xml:space="preserve">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B01FEA">
        <w:rPr>
          <w:i/>
          <w:sz w:val="16"/>
          <w:szCs w:val="16"/>
        </w:rPr>
        <w:t xml:space="preserve"> </w:t>
      </w:r>
      <w:proofErr w:type="spellStart"/>
      <w:r w:rsidR="000340AB"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D6A17" w:rsidSect="004E4988">
      <w:footerReference w:type="default" r:id="rId11"/>
      <w:footerReference w:type="first" r:id="rId12"/>
      <w:pgSz w:w="11907" w:h="16839" w:code="9"/>
      <w:pgMar w:top="709" w:right="992" w:bottom="426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AD" w:rsidRDefault="000755AD" w:rsidP="00400BED">
      <w:pPr>
        <w:spacing w:after="0" w:line="240" w:lineRule="auto"/>
      </w:pPr>
      <w:r>
        <w:separator/>
      </w:r>
    </w:p>
  </w:endnote>
  <w:endnote w:type="continuationSeparator" w:id="0">
    <w:p w:rsidR="000755AD" w:rsidRDefault="000755AD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5B8" w:rsidRDefault="006A7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3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A75B8" w:rsidRDefault="006A7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B8" w:rsidRPr="00137A54" w:rsidRDefault="006A75B8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  <w:r w:rsidRPr="001D01A5">
      <w:rPr>
        <w:rFonts w:ascii="Sylfaen" w:hAnsi="Sylfaen"/>
        <w:i/>
        <w:sz w:val="16"/>
        <w:szCs w:val="16"/>
      </w:rPr>
      <w:t>;</w:t>
    </w:r>
  </w:p>
  <w:p w:rsidR="006A75B8" w:rsidRDefault="006A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AD" w:rsidRDefault="000755AD" w:rsidP="00400BED">
      <w:pPr>
        <w:spacing w:after="0" w:line="240" w:lineRule="auto"/>
      </w:pPr>
      <w:r>
        <w:separator/>
      </w:r>
    </w:p>
  </w:footnote>
  <w:footnote w:type="continuationSeparator" w:id="0">
    <w:p w:rsidR="000755AD" w:rsidRDefault="000755AD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546F"/>
    <w:rsid w:val="000755AD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16F8"/>
    <w:rsid w:val="000B2189"/>
    <w:rsid w:val="000B567A"/>
    <w:rsid w:val="000B6954"/>
    <w:rsid w:val="000B6CAA"/>
    <w:rsid w:val="000C139F"/>
    <w:rsid w:val="000C3566"/>
    <w:rsid w:val="000C416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1AB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58F4"/>
    <w:rsid w:val="001763B0"/>
    <w:rsid w:val="00181ECC"/>
    <w:rsid w:val="00182832"/>
    <w:rsid w:val="00187C1C"/>
    <w:rsid w:val="00187D2D"/>
    <w:rsid w:val="00190A72"/>
    <w:rsid w:val="00193364"/>
    <w:rsid w:val="00193C76"/>
    <w:rsid w:val="00197E9D"/>
    <w:rsid w:val="001A078F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4E21"/>
    <w:rsid w:val="002758CB"/>
    <w:rsid w:val="0027700A"/>
    <w:rsid w:val="002774D0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2FBA"/>
    <w:rsid w:val="002E3E75"/>
    <w:rsid w:val="002E40E8"/>
    <w:rsid w:val="002F292C"/>
    <w:rsid w:val="002F4A36"/>
    <w:rsid w:val="002F5FB0"/>
    <w:rsid w:val="002F7144"/>
    <w:rsid w:val="00300306"/>
    <w:rsid w:val="00300938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49ED"/>
    <w:rsid w:val="00387352"/>
    <w:rsid w:val="0039166F"/>
    <w:rsid w:val="0039425A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43A7"/>
    <w:rsid w:val="003E5A7C"/>
    <w:rsid w:val="003E743D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DC3"/>
    <w:rsid w:val="004816BC"/>
    <w:rsid w:val="004835AB"/>
    <w:rsid w:val="00485FD9"/>
    <w:rsid w:val="00490B44"/>
    <w:rsid w:val="00491CB9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26F9"/>
    <w:rsid w:val="004D3EA2"/>
    <w:rsid w:val="004D7B47"/>
    <w:rsid w:val="004E160B"/>
    <w:rsid w:val="004E2497"/>
    <w:rsid w:val="004E422E"/>
    <w:rsid w:val="004E4988"/>
    <w:rsid w:val="004F2321"/>
    <w:rsid w:val="004F5AB2"/>
    <w:rsid w:val="0050185A"/>
    <w:rsid w:val="00501E22"/>
    <w:rsid w:val="00510802"/>
    <w:rsid w:val="005131CE"/>
    <w:rsid w:val="00515451"/>
    <w:rsid w:val="005165EB"/>
    <w:rsid w:val="00523377"/>
    <w:rsid w:val="00523560"/>
    <w:rsid w:val="0053140C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33C6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2D48"/>
    <w:rsid w:val="00615CCA"/>
    <w:rsid w:val="006168BD"/>
    <w:rsid w:val="006179F1"/>
    <w:rsid w:val="006202AE"/>
    <w:rsid w:val="0062047A"/>
    <w:rsid w:val="006204B4"/>
    <w:rsid w:val="00621E8E"/>
    <w:rsid w:val="0062322C"/>
    <w:rsid w:val="00623F0F"/>
    <w:rsid w:val="00626122"/>
    <w:rsid w:val="00626677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5136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5B8"/>
    <w:rsid w:val="006A7D49"/>
    <w:rsid w:val="006B0590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43A8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20A8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4D8C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49F4"/>
    <w:rsid w:val="00A26B28"/>
    <w:rsid w:val="00A304CC"/>
    <w:rsid w:val="00A30759"/>
    <w:rsid w:val="00A32DCB"/>
    <w:rsid w:val="00A33B48"/>
    <w:rsid w:val="00A36390"/>
    <w:rsid w:val="00A404B7"/>
    <w:rsid w:val="00A45EB8"/>
    <w:rsid w:val="00A50002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94C82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3BBE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4FAA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2FE2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87708"/>
    <w:rsid w:val="00B94CDE"/>
    <w:rsid w:val="00B95192"/>
    <w:rsid w:val="00B95528"/>
    <w:rsid w:val="00BA297C"/>
    <w:rsid w:val="00BA6094"/>
    <w:rsid w:val="00BB4019"/>
    <w:rsid w:val="00BB79CB"/>
    <w:rsid w:val="00BC132A"/>
    <w:rsid w:val="00BC168E"/>
    <w:rsid w:val="00BC505C"/>
    <w:rsid w:val="00BC5E24"/>
    <w:rsid w:val="00BC764D"/>
    <w:rsid w:val="00BD1D05"/>
    <w:rsid w:val="00BD2A19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44C6"/>
    <w:rsid w:val="00C6464F"/>
    <w:rsid w:val="00C65251"/>
    <w:rsid w:val="00C65B32"/>
    <w:rsid w:val="00C66081"/>
    <w:rsid w:val="00C6765C"/>
    <w:rsid w:val="00C676F1"/>
    <w:rsid w:val="00C721F3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322C"/>
    <w:rsid w:val="00CA4A72"/>
    <w:rsid w:val="00CA65F9"/>
    <w:rsid w:val="00CA70A1"/>
    <w:rsid w:val="00CB2BCD"/>
    <w:rsid w:val="00CB36D7"/>
    <w:rsid w:val="00CB3F5C"/>
    <w:rsid w:val="00CB5065"/>
    <w:rsid w:val="00CB57F7"/>
    <w:rsid w:val="00CB6749"/>
    <w:rsid w:val="00CC1535"/>
    <w:rsid w:val="00CC3840"/>
    <w:rsid w:val="00CC46C4"/>
    <w:rsid w:val="00CC61C6"/>
    <w:rsid w:val="00CC6C0E"/>
    <w:rsid w:val="00CD1557"/>
    <w:rsid w:val="00CD2440"/>
    <w:rsid w:val="00CD352C"/>
    <w:rsid w:val="00CD7C57"/>
    <w:rsid w:val="00CE327F"/>
    <w:rsid w:val="00CE3D1B"/>
    <w:rsid w:val="00CE5649"/>
    <w:rsid w:val="00CF0DA5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3DE"/>
    <w:rsid w:val="00D207EF"/>
    <w:rsid w:val="00D21BD3"/>
    <w:rsid w:val="00D2609D"/>
    <w:rsid w:val="00D261E7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33C6"/>
    <w:rsid w:val="00D94C3D"/>
    <w:rsid w:val="00D95F2B"/>
    <w:rsid w:val="00DA27F4"/>
    <w:rsid w:val="00DA2E3F"/>
    <w:rsid w:val="00DA3080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052D"/>
    <w:rsid w:val="00E014B2"/>
    <w:rsid w:val="00E01ADA"/>
    <w:rsid w:val="00E01BC8"/>
    <w:rsid w:val="00E02C4C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277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97721"/>
    <w:rsid w:val="00EA293E"/>
    <w:rsid w:val="00EA2D25"/>
    <w:rsid w:val="00EA388F"/>
    <w:rsid w:val="00EA46B3"/>
    <w:rsid w:val="00EA65D7"/>
    <w:rsid w:val="00EB0470"/>
    <w:rsid w:val="00EB0989"/>
    <w:rsid w:val="00EB0EE9"/>
    <w:rsid w:val="00EB1B0E"/>
    <w:rsid w:val="00EB2E2F"/>
    <w:rsid w:val="00EB4097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8FD27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21%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  <a:endParaRPr lang="ka-GE" sz="9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4973951117292478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/>
                      <a:t>ორმხრივი
15%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23302724672587"/>
                      <c:h val="0.1530965296004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b="0">
                        <a:solidFill>
                          <a:sysClr val="windowText" lastClr="000000"/>
                        </a:solidFill>
                      </a:rPr>
                      <a:t>ევრობონდი
7 %</a:t>
                    </a:r>
                    <a:endParaRPr lang="ka-GE" sz="9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  <a:endParaRPr lang="ka-GE" sz="9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1" i="0" u="none" strike="noStrike" baseline="0"/>
              <a:t>   საპროცენტო განაკვეთის ტიპი</a:t>
            </a:r>
            <a:endParaRPr lang="en-US" sz="900" b="1"/>
          </a:p>
        </c:rich>
      </c:tx>
      <c:layout>
        <c:manualLayout>
          <c:xMode val="edge"/>
          <c:yMode val="edge"/>
          <c:x val="0.18107163633682102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575794570943983"/>
          <c:y val="0.14816564596092155"/>
          <c:w val="0.84879800404762107"/>
          <c:h val="0.83324213261221136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9.2817614548750899E-2"/>
                  <c:y val="-0.14226988379863481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08408236171314"/>
                      <c:h val="0.22850859238925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81948577498048"/>
          <c:y val="0.23226226529376132"/>
          <c:w val="0.73361002115538232"/>
          <c:h val="0.72169543710882289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 32%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2.2794792791369305E-2"/>
                  <c:y val="-6.925564304461942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1">
              <a:effectLst/>
              <a:latin typeface="+mn-lt"/>
              <a:ea typeface="+mn-ea"/>
              <a:cs typeface="+mn-cs"/>
            </a:rPr>
            <a:t>      სავალუტო</a:t>
          </a:r>
          <a:r>
            <a:rPr lang="ka-GE" sz="1000" b="1">
              <a:effectLst/>
              <a:latin typeface="+mn-lt"/>
              <a:ea typeface="+mn-ea"/>
              <a:cs typeface="+mn-cs"/>
            </a:rPr>
            <a:t>   </a:t>
          </a:r>
          <a:r>
            <a:rPr lang="ka-GE" sz="900" b="1">
              <a:effectLst/>
              <a:latin typeface="+mn-lt"/>
              <a:ea typeface="+mn-ea"/>
              <a:cs typeface="+mn-cs"/>
            </a:rPr>
            <a:t>სტრუქტურა</a:t>
          </a:r>
          <a:endParaRPr lang="en-US" sz="900" b="1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FE66-1530-43A0-AD22-5204A037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24</cp:revision>
  <cp:lastPrinted>2020-03-16T07:02:00Z</cp:lastPrinted>
  <dcterms:created xsi:type="dcterms:W3CDTF">2019-07-19T08:11:00Z</dcterms:created>
  <dcterms:modified xsi:type="dcterms:W3CDTF">2020-03-16T07:02:00Z</dcterms:modified>
</cp:coreProperties>
</file>